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AF35E" w14:textId="77777777" w:rsidR="00AF36CB" w:rsidRPr="00E55B9B" w:rsidRDefault="00AF36CB" w:rsidP="00E55B9B">
      <w:pPr>
        <w:tabs>
          <w:tab w:val="left" w:pos="993"/>
        </w:tabs>
        <w:spacing w:after="0"/>
        <w:jc w:val="center"/>
        <w:rPr>
          <w:b/>
        </w:rPr>
      </w:pPr>
      <w:r w:rsidRPr="00E55B9B">
        <w:rPr>
          <w:b/>
        </w:rPr>
        <w:t>VYHODNOCENÍ DOTAZNÍKOVÉHO ŠETŘENÍ</w:t>
      </w:r>
    </w:p>
    <w:p w14:paraId="26271605" w14:textId="77777777" w:rsidR="00AF36CB" w:rsidRPr="00E55B9B" w:rsidRDefault="00AF36CB" w:rsidP="00E55B9B">
      <w:pPr>
        <w:tabs>
          <w:tab w:val="left" w:pos="993"/>
        </w:tabs>
        <w:spacing w:after="0"/>
        <w:jc w:val="center"/>
        <w:rPr>
          <w:b/>
        </w:rPr>
      </w:pPr>
      <w:r w:rsidRPr="00E55B9B">
        <w:rPr>
          <w:b/>
        </w:rPr>
        <w:t>2025</w:t>
      </w:r>
    </w:p>
    <w:p w14:paraId="2CF482A1" w14:textId="4DE18E6D" w:rsidR="00C52D18" w:rsidRPr="00452448" w:rsidRDefault="00AF36CB" w:rsidP="00452448">
      <w:pPr>
        <w:tabs>
          <w:tab w:val="left" w:pos="993"/>
        </w:tabs>
        <w:spacing w:after="0"/>
        <w:jc w:val="center"/>
        <w:rPr>
          <w:b/>
        </w:rPr>
      </w:pPr>
      <w:r w:rsidRPr="00E55B9B">
        <w:rPr>
          <w:b/>
        </w:rPr>
        <w:t>OSOBY BLÍZKÉ</w:t>
      </w:r>
    </w:p>
    <w:p w14:paraId="3B441D53" w14:textId="77777777" w:rsidR="00E55B9B" w:rsidRPr="00E55B9B" w:rsidRDefault="00E55B9B" w:rsidP="00E55B9B">
      <w:pPr>
        <w:jc w:val="both"/>
      </w:pPr>
      <w:r w:rsidRPr="00E55B9B">
        <w:t>Vážení rodinní příslušníci a další blízcí klientů DS Chodov,</w:t>
      </w:r>
    </w:p>
    <w:p w14:paraId="3F25D3E4" w14:textId="77777777" w:rsidR="00E55B9B" w:rsidRPr="00E55B9B" w:rsidRDefault="00E55B9B" w:rsidP="00E55B9B">
      <w:pPr>
        <w:jc w:val="both"/>
      </w:pPr>
      <w:r w:rsidRPr="00E55B9B">
        <w:t>rádi bychom Vás seznámili s výsledky dotazníkového šetření, které probíhalo v listopadu 2025. V průběhu roku realizujeme tematické ankety určené především klientům, velmi si však vážíme i zapojení jejich blízkých. Na závěr roku proto probíhá rozsáhlejší dotazníkové šetření určené klientům i jejich rodinám. Zpětnou vazbu získáváme také od klientů využívajících služby dobrovolníků a z dotazníků vyplňovaných praktikanty, stážisty a dobrovolníky.</w:t>
      </w:r>
    </w:p>
    <w:p w14:paraId="293EAA65" w14:textId="7C33E48C" w:rsidR="00E55B9B" w:rsidRPr="00E55B9B" w:rsidRDefault="00E55B9B" w:rsidP="00E55B9B">
      <w:pPr>
        <w:jc w:val="both"/>
      </w:pPr>
      <w:r w:rsidRPr="00E55B9B">
        <w:t xml:space="preserve">Na webových stránkách Domova je k dispozici online dotazník zpětné vazby, který je možné vyplnit po celý rok. Stejný dotazník lze vyplnit také prostřednictvím informačních panelů Galileo a Ámos umístěných </w:t>
      </w:r>
      <w:r w:rsidR="000E0F19">
        <w:br/>
      </w:r>
      <w:r w:rsidRPr="00E55B9B">
        <w:t>u</w:t>
      </w:r>
      <w:r w:rsidRPr="00E55B9B">
        <w:t xml:space="preserve"> </w:t>
      </w:r>
      <w:r w:rsidRPr="00E55B9B">
        <w:t>recepce a v prostoru u jídelny. Vaší zpětné vazby si velmi vážíme, protože nám pomáhá průběžně zkvalitňovat poskytované služby. V případě podnětů, které je třeba řešit bez odkladu, doporučujeme využít schránky pro podněty, stížnosti a pochvaly, případně nás kontaktovat písemně, telefonicky, e-mailem, prostřednictvím datové schránky nebo osobně.</w:t>
      </w:r>
    </w:p>
    <w:p w14:paraId="641BB2FD" w14:textId="77777777" w:rsidR="00E55B9B" w:rsidRPr="00E55B9B" w:rsidRDefault="00E55B9B" w:rsidP="00E55B9B">
      <w:pPr>
        <w:jc w:val="both"/>
      </w:pPr>
      <w:r w:rsidRPr="00E55B9B">
        <w:t>V listopadu 2025 byly dotazníky osobám blízkým klientů rozeslány e-mailem s odkazem na online verzi. Současně bylo možné vyplnit dotazník také v tištěné podobě a odevzdat jej do určených schránek v DS Chodov. Těší nás, že oproti předchozímu roku byla návratnost dotazníků výrazně vyšší. Online formou se vrátilo 76 dotazníků, dalších 13 bylo odevzdáno v papírové podobě.</w:t>
      </w:r>
    </w:p>
    <w:p w14:paraId="45B0FC68" w14:textId="143CEE57" w:rsidR="007B7504" w:rsidRDefault="007B7504" w:rsidP="00E55B9B">
      <w:pPr>
        <w:jc w:val="both"/>
      </w:pPr>
      <w:r w:rsidRPr="007B7504">
        <w:t xml:space="preserve">Celkové hodnocení služeb vyznívá velmi pozitivně, přesto odpovědi přinesly také několik podnětů ke zlepšení. Častěji byla zmiňována oblast dostupnosti lékařské péče a možnost pravidelných preventivních kontrol, zejména u klientů s omezenou pohyblivostí. V této souvislosti považujeme za důležité připomenout, že Domov pro seniory Chodov je sociální službou, nikoli zdravotnickým zařízením. Lékařská péče je proto zajišťována v rozsahu odpovídajícím charakteru poskytované služby. Lékař působící v Domově není zaměstnancem DS Chodov, ale externím </w:t>
      </w:r>
      <w:r w:rsidR="00987501">
        <w:t>lékařem</w:t>
      </w:r>
      <w:r w:rsidRPr="007B7504">
        <w:t>,</w:t>
      </w:r>
      <w:r w:rsidR="00987501">
        <w:t xml:space="preserve"> který do Domova dochází. </w:t>
      </w:r>
      <w:r w:rsidRPr="007B7504">
        <w:t xml:space="preserve">Pokud je lékař v Domově přítomen, klienti mají možnost jej navštívit i mimo individuální obchůzky. V případech vyšetření mimo Domov bývá </w:t>
      </w:r>
      <w:r w:rsidRPr="00DA24DC">
        <w:t>doprava a doprovod zpravidla řešena po dohodě s rodinou, případně s využitím dostupných externích služeb.</w:t>
      </w:r>
      <w:r w:rsidR="001C3F8C" w:rsidRPr="00DA24DC">
        <w:t xml:space="preserve"> V některých případech může lékař rozhodnout o převozu sanitkou. Pokud je takový převoz ze zdravotních důvodů nutný, hradí jej zdravotní pojišťovna.</w:t>
      </w:r>
    </w:p>
    <w:p w14:paraId="6463DA7E" w14:textId="681340FC" w:rsidR="00E55B9B" w:rsidRPr="00E55B9B" w:rsidRDefault="00E55B9B" w:rsidP="00E55B9B">
      <w:pPr>
        <w:jc w:val="both"/>
      </w:pPr>
      <w:r w:rsidRPr="00E55B9B">
        <w:t>Další připomínky se týkaly organizace péče a volnočasových aktivit. Objevila se například zmínka, že se někteří klienti nemohli zúčastnit aktivit z důvodu koupání, ošetření nebo jiné plánované péče. Harmonogram péče však není nastaven zcela striktně a v odůvodněných případech je možné jej po domluvě přizpůsobit. Pokud klient ví, že se chce zúčastnit konkrétní aktivity, může tuto skutečnost personálu sdělit a společně je možné hledat vhodné řešení s ohledem na provozní možnosti i potřeby ostatních klientů.</w:t>
      </w:r>
    </w:p>
    <w:p w14:paraId="65C1F507" w14:textId="6DB82EFA" w:rsidR="00E55B9B" w:rsidRPr="00E55B9B" w:rsidRDefault="00E55B9B" w:rsidP="00E55B9B">
      <w:pPr>
        <w:jc w:val="both"/>
      </w:pPr>
      <w:r w:rsidRPr="00E55B9B">
        <w:t>Podněty se objevily také k nabídce volnočasových aktivit a k případným změnám v jejich realizaci. Domov se dlouhodobě snaží nabízet klientům pestrou škálu aktivizačních, kulturních a společenských činností. Jejich konkrétní podoba a rozsah se však mohou průběžně měnit podle aktuálních provozních možností, personálního zajištění i zájmu klientů. O případných změnách jsou klienti vždy</w:t>
      </w:r>
      <w:r w:rsidR="00987501">
        <w:t xml:space="preserve"> předem</w:t>
      </w:r>
      <w:r w:rsidRPr="00E55B9B">
        <w:t xml:space="preserve"> informováni.</w:t>
      </w:r>
    </w:p>
    <w:p w14:paraId="587BB949" w14:textId="214F6538" w:rsidR="007B7504" w:rsidRDefault="001C3F8C" w:rsidP="00E55B9B">
      <w:pPr>
        <w:jc w:val="both"/>
      </w:pPr>
      <w:r w:rsidRPr="001C3F8C">
        <w:lastRenderedPageBreak/>
        <w:t xml:space="preserve">V </w:t>
      </w:r>
      <w:r w:rsidRPr="00DA24DC">
        <w:t>menší míře se objevily také připomínky k pitnému režimu a ke skladbě jídelníčku. DS Chodov standardně zajišťuje podávání nápojů jako součást jednotlivých jídel; průběžné zajišťování nápojů podle individuálních preferencí po celý den není</w:t>
      </w:r>
      <w:r w:rsidR="00DA24DC">
        <w:t xml:space="preserve"> </w:t>
      </w:r>
      <w:r w:rsidRPr="00DA24DC">
        <w:t>součástí poskytované služby. Další nápoje si proto klienti obstarávají sami, případně za pomoci rodiny, personálu DS Chodov nebo místní kavárny. Jídelníček je sestavován s ohledem na zásady vyvážené výživy a specifické potřeby seniorů. Podněty klientů i jejich blízkých v této oblasti průběžně sledujeme a zohledňujeme při dalším plánování stravy, mimo jiné také v rámci Setkání s obyvateli Domova.</w:t>
      </w:r>
    </w:p>
    <w:p w14:paraId="65E2F951" w14:textId="7DEAE67D" w:rsidR="00E55B9B" w:rsidRPr="00E55B9B" w:rsidRDefault="00E55B9B" w:rsidP="00E55B9B">
      <w:pPr>
        <w:jc w:val="both"/>
      </w:pPr>
      <w:r w:rsidRPr="00E55B9B">
        <w:t xml:space="preserve">V odpovědích se objevily také jednotlivé podněty týkající se osobních věcí klientů na pokojích. Tyto situace vnímáme citlivě a víme, že mohou být pro klienty i jejich blízké nepříjemné. Pokud klient nebo jeho rodina postrádají osobní věc, je důležité tuto skutečnost co </w:t>
      </w:r>
      <w:r w:rsidRPr="004833D1">
        <w:t xml:space="preserve">nejdříve oznámit </w:t>
      </w:r>
      <w:r w:rsidR="00212099" w:rsidRPr="004833D1">
        <w:t>koordinátorovi</w:t>
      </w:r>
      <w:r w:rsidR="004833D1" w:rsidRPr="004833D1">
        <w:t xml:space="preserve"> patra</w:t>
      </w:r>
      <w:r w:rsidRPr="004833D1">
        <w:t>, aby</w:t>
      </w:r>
      <w:r w:rsidRPr="00E55B9B">
        <w:t xml:space="preserve"> bylo možné situaci prověřit a případně dohledat okolnosti. Za zásadní v této oblasti považujeme zejména otevřenou </w:t>
      </w:r>
      <w:r w:rsidR="000E0F19">
        <w:br/>
      </w:r>
      <w:r w:rsidRPr="00E55B9B">
        <w:t>a včasnou komunikaci.</w:t>
      </w:r>
    </w:p>
    <w:p w14:paraId="7BC6F673" w14:textId="37993EC0" w:rsidR="00DA24DC" w:rsidRDefault="00DA24DC" w:rsidP="00E55B9B">
      <w:pPr>
        <w:jc w:val="both"/>
      </w:pPr>
      <w:r w:rsidRPr="00DA24DC">
        <w:t xml:space="preserve">Další připomínky se týkaly organizace provozu Domova, například uzamykání hlavního vstupu do budovy </w:t>
      </w:r>
      <w:r w:rsidR="000E0F19">
        <w:br/>
      </w:r>
      <w:r w:rsidRPr="00DA24DC">
        <w:t>v době oběda nebo některých technických záležitostí. Tyto podněty bereme v úvahu a podle jejich povahy je průběžně vyhodnocujeme. Na základě obdržené zpětné vazby bylo zároveň rozhodnuto, že hlavní vstup do budovy již během oběda nebude uzamykán.</w:t>
      </w:r>
    </w:p>
    <w:p w14:paraId="0494C068" w14:textId="0D09109D" w:rsidR="00E55B9B" w:rsidRPr="00E55B9B" w:rsidRDefault="00E55B9B" w:rsidP="000E0F19">
      <w:pPr>
        <w:spacing w:line="240" w:lineRule="auto"/>
        <w:jc w:val="both"/>
      </w:pPr>
      <w:r w:rsidRPr="00E55B9B">
        <w:t xml:space="preserve">Respondenti dále zmiňovali situace související se soužitím klientů na pokojích nebo s chováním některých spolubydlících. Tyto situace Domov vnímá a v případě potřeby je řeší individuálně s ohledem na potřeby </w:t>
      </w:r>
      <w:r w:rsidR="000E0F19">
        <w:br/>
      </w:r>
      <w:r w:rsidRPr="00E55B9B">
        <w:t>a možnosti všech zúčastněných. Soužití více osob na jednom pokoji může přinášet různé každodenní situace, proto se personál snaží případné obtíže řešit zejména domluvou, podporou klientů a hledáním vhodného řešení.</w:t>
      </w:r>
      <w:r>
        <w:t xml:space="preserve"> </w:t>
      </w:r>
      <w:r w:rsidRPr="00E55B9B">
        <w:t xml:space="preserve">Objevily se také jednotlivé připomínky k chování některých zaměstnanců. Tyto podněty bereme vážně a v případě jejich konkrétního sdělení jsou řešeny s příslušnými pracovníky. Zaměstnanci jsou zároveň </w:t>
      </w:r>
      <w:r w:rsidR="000E0F19">
        <w:br/>
      </w:r>
      <w:r w:rsidRPr="00E55B9B">
        <w:t>v</w:t>
      </w:r>
      <w:r w:rsidRPr="00E55B9B">
        <w:t xml:space="preserve"> </w:t>
      </w:r>
      <w:r w:rsidRPr="00E55B9B">
        <w:t>průběhu roku průběžně vzděláváni v oblasti komunikace, přístupu ke klientům a kvality poskytované péče.</w:t>
      </w:r>
    </w:p>
    <w:p w14:paraId="59A61B17" w14:textId="2FCF07BD" w:rsidR="00E55B9B" w:rsidRPr="00E55B9B" w:rsidRDefault="00E55B9B" w:rsidP="000E0F19">
      <w:pPr>
        <w:spacing w:line="240" w:lineRule="auto"/>
        <w:jc w:val="both"/>
      </w:pPr>
      <w:r w:rsidRPr="00E55B9B">
        <w:t xml:space="preserve">V dotazníku 55 respondentů uvedlo, že sledují informace na sociálních sítích DS Chodov, zatímco 34 respondentů je nesleduje. Nejčastějším zdrojem informací pro Vás nadále zůstávají webové stránky Domova, v menší míře také Facebook. Největší pozornost věnujete kulturním akcím, aktualitám, nabídce aktivit </w:t>
      </w:r>
      <w:r w:rsidR="000E0F19">
        <w:br/>
      </w:r>
      <w:r w:rsidRPr="00E55B9B">
        <w:t>a fotografiím z proběhlých a</w:t>
      </w:r>
      <w:bookmarkStart w:id="0" w:name="_GoBack"/>
      <w:bookmarkEnd w:id="0"/>
      <w:r w:rsidRPr="00E55B9B">
        <w:t>kcí. Většina respondentů zároveň uvedla, že ví o možnosti účastnit se kulturních akcí a aktivit pořádaných Domovem. Doporučujeme proto i nadále sledovat webové stránky a sociální sítě Domova, které pravidelně informují o aktuálním dění, plánovaných akcích i životě v Domově.</w:t>
      </w:r>
    </w:p>
    <w:p w14:paraId="546A1BDE" w14:textId="77777777" w:rsidR="00E55B9B" w:rsidRPr="00E55B9B" w:rsidRDefault="00E55B9B" w:rsidP="000E0F19">
      <w:pPr>
        <w:spacing w:line="240" w:lineRule="auto"/>
        <w:jc w:val="both"/>
      </w:pPr>
      <w:r w:rsidRPr="00E55B9B">
        <w:t>Celkově lze shrnout, že výsledky dotazníkového šetření ukazují na vysokou míru spokojenosti rodinných příslušníků s péčí poskytovanou v Domově pro seniory Chodov. Většina respondentů pozitivně hodnotí kvalitu poskytovaných služeb, přístup zaměstnanců i celkové fungování zařízení. Velmi příznivě je vnímáno také prostředí Domova, jeho zázemí a nabídka volnočasových a kulturních aktivit.</w:t>
      </w:r>
    </w:p>
    <w:p w14:paraId="05BBFDAD" w14:textId="77777777" w:rsidR="00E55B9B" w:rsidRPr="00E55B9B" w:rsidRDefault="00E55B9B" w:rsidP="000E0F19">
      <w:pPr>
        <w:spacing w:line="240" w:lineRule="auto"/>
        <w:jc w:val="both"/>
      </w:pPr>
      <w:r w:rsidRPr="00E55B9B">
        <w:t>Závěrečné komentáře respondentů ve velké míře obsahují poděkování zaměstnancům Domova za jejich práci, péči a lidský přístup ke klientům.</w:t>
      </w:r>
    </w:p>
    <w:p w14:paraId="17FF8A26" w14:textId="77777777" w:rsidR="00E55B9B" w:rsidRPr="00E55B9B" w:rsidRDefault="00E55B9B" w:rsidP="000E0F19">
      <w:pPr>
        <w:spacing w:line="240" w:lineRule="auto"/>
        <w:jc w:val="both"/>
      </w:pPr>
      <w:r w:rsidRPr="00E55B9B">
        <w:t>Děkujeme všem, kteří se do dotazníkového šetření zapojili. Vaše názory, připomínky i podněty jsou pro nás cenným zdrojem informací a pomáhají nám lépe porozumět potřebám klientů i jejich blízkých. Díky této zpětné vazbě můžeme služby Domova průběžně vyhodnocovat a dále rozvíjet tak, aby co nejlépe odpovídaly potřebám klientů.</w:t>
      </w:r>
    </w:p>
    <w:p w14:paraId="4163A567" w14:textId="77777777" w:rsidR="00BC18A0" w:rsidRPr="00B16EB5" w:rsidRDefault="00E55B9B" w:rsidP="00B16EB5">
      <w:pPr>
        <w:spacing w:line="240" w:lineRule="auto"/>
        <w:jc w:val="right"/>
      </w:pPr>
      <w:r w:rsidRPr="00E55B9B">
        <w:rPr>
          <w:b/>
          <w:bCs/>
        </w:rPr>
        <w:t>Vedení Domova</w:t>
      </w:r>
    </w:p>
    <w:sectPr w:rsidR="00BC18A0" w:rsidRPr="00B16EB5" w:rsidSect="00137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CCC7D" w14:textId="77777777" w:rsidR="0071095E" w:rsidRDefault="0071095E" w:rsidP="0018738A">
      <w:pPr>
        <w:spacing w:after="0" w:line="240" w:lineRule="auto"/>
      </w:pPr>
      <w:r>
        <w:separator/>
      </w:r>
    </w:p>
  </w:endnote>
  <w:endnote w:type="continuationSeparator" w:id="0">
    <w:p w14:paraId="6D024944" w14:textId="77777777" w:rsidR="0071095E" w:rsidRDefault="0071095E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33927" w14:textId="77777777" w:rsidR="00227601" w:rsidRDefault="002276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596D9" w14:textId="77777777" w:rsidR="00227601" w:rsidRDefault="005050D0" w:rsidP="008E5CC8">
    <w:pPr>
      <w:tabs>
        <w:tab w:val="left" w:pos="1134"/>
      </w:tabs>
      <w:spacing w:after="0"/>
      <w:ind w:left="1134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 wp14:anchorId="4E812173" wp14:editId="4AED0CC6">
          <wp:simplePos x="0" y="0"/>
          <wp:positionH relativeFrom="column">
            <wp:posOffset>-15240</wp:posOffset>
          </wp:positionH>
          <wp:positionV relativeFrom="paragraph">
            <wp:posOffset>4445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0B2" w:rsidRPr="00137593">
      <w:rPr>
        <w:sz w:val="18"/>
        <w:szCs w:val="18"/>
      </w:rPr>
      <w:t xml:space="preserve">Tel.: 267 907 111, </w:t>
    </w:r>
    <w:r w:rsidR="007C30B2" w:rsidRPr="00137593">
      <w:rPr>
        <w:rStyle w:val="Hypertextovodkaz"/>
        <w:color w:val="auto"/>
        <w:sz w:val="18"/>
        <w:szCs w:val="18"/>
        <w:u w:val="none"/>
      </w:rPr>
      <w:t>DS: btgr7</w:t>
    </w:r>
    <w:proofErr w:type="gramStart"/>
    <w:r w:rsidR="007C30B2" w:rsidRPr="00137593">
      <w:rPr>
        <w:rStyle w:val="Hypertextovodkaz"/>
        <w:color w:val="auto"/>
        <w:sz w:val="18"/>
        <w:szCs w:val="18"/>
        <w:u w:val="none"/>
      </w:rPr>
      <w:t>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</w:t>
    </w:r>
    <w:proofErr w:type="gramEnd"/>
    <w:r w:rsidR="00390BB4" w:rsidRPr="00137593">
      <w:rPr>
        <w:sz w:val="18"/>
        <w:szCs w:val="18"/>
      </w:rPr>
      <w:t>: 70876606</w:t>
    </w:r>
  </w:p>
  <w:p w14:paraId="0808E2D2" w14:textId="77777777" w:rsidR="007C30B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14:paraId="57F2398D" w14:textId="77777777"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7B50C1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14:paraId="0296B6F6" w14:textId="77777777" w:rsidR="0018738A" w:rsidRDefault="0018738A" w:rsidP="0018738A">
    <w:pPr>
      <w:spacing w:after="0"/>
      <w:rPr>
        <w:rStyle w:val="Hypertextovodkaz"/>
        <w:sz w:val="18"/>
        <w:szCs w:val="18"/>
      </w:rPr>
    </w:pPr>
  </w:p>
  <w:p w14:paraId="6AF59B96" w14:textId="77777777"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C9B83" w14:textId="77777777" w:rsidR="00227601" w:rsidRDefault="002276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E92EF" w14:textId="77777777" w:rsidR="0071095E" w:rsidRDefault="0071095E" w:rsidP="0018738A">
      <w:pPr>
        <w:spacing w:after="0" w:line="240" w:lineRule="auto"/>
      </w:pPr>
      <w:r>
        <w:separator/>
      </w:r>
    </w:p>
  </w:footnote>
  <w:footnote w:type="continuationSeparator" w:id="0">
    <w:p w14:paraId="6D2F46A6" w14:textId="77777777" w:rsidR="0071095E" w:rsidRDefault="0071095E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A76A6" w14:textId="77777777" w:rsidR="00227601" w:rsidRDefault="002276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77416" w14:textId="77777777"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14:paraId="75AD16CD" w14:textId="77777777"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54694A0B" wp14:editId="664A613C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0BA20" w14:textId="77777777"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14:paraId="100116A6" w14:textId="77777777"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14:paraId="14CE9A8D" w14:textId="77777777" w:rsidR="00767482" w:rsidRPr="007C30B2" w:rsidRDefault="00A84BBD" w:rsidP="00CD7BE2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14:paraId="550BC832" w14:textId="77777777"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14:paraId="400C101D" w14:textId="77777777"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1592" w14:textId="77777777" w:rsidR="00227601" w:rsidRDefault="002276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0170"/>
    <w:multiLevelType w:val="multilevel"/>
    <w:tmpl w:val="86AC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B5830"/>
    <w:multiLevelType w:val="multilevel"/>
    <w:tmpl w:val="BEE0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24E39"/>
    <w:multiLevelType w:val="multilevel"/>
    <w:tmpl w:val="2D28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1734C"/>
    <w:multiLevelType w:val="multilevel"/>
    <w:tmpl w:val="ED42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34C2B"/>
    <w:multiLevelType w:val="multilevel"/>
    <w:tmpl w:val="9E20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B64ED"/>
    <w:multiLevelType w:val="multilevel"/>
    <w:tmpl w:val="65A6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D29B8"/>
    <w:multiLevelType w:val="multilevel"/>
    <w:tmpl w:val="5BEA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2211E"/>
    <w:multiLevelType w:val="multilevel"/>
    <w:tmpl w:val="7D72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96429D"/>
    <w:multiLevelType w:val="multilevel"/>
    <w:tmpl w:val="7FA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CF71D6"/>
    <w:multiLevelType w:val="multilevel"/>
    <w:tmpl w:val="DE32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BE6273"/>
    <w:multiLevelType w:val="multilevel"/>
    <w:tmpl w:val="38C2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757907"/>
    <w:multiLevelType w:val="multilevel"/>
    <w:tmpl w:val="C0DC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96DC2"/>
    <w:multiLevelType w:val="multilevel"/>
    <w:tmpl w:val="0A9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B41370"/>
    <w:multiLevelType w:val="multilevel"/>
    <w:tmpl w:val="B178C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DC2D1F"/>
    <w:multiLevelType w:val="multilevel"/>
    <w:tmpl w:val="622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26A15"/>
    <w:multiLevelType w:val="multilevel"/>
    <w:tmpl w:val="F1E4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CC4517"/>
    <w:multiLevelType w:val="multilevel"/>
    <w:tmpl w:val="9602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485F46"/>
    <w:multiLevelType w:val="multilevel"/>
    <w:tmpl w:val="750A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B2CE0"/>
    <w:multiLevelType w:val="multilevel"/>
    <w:tmpl w:val="95D2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F7142"/>
    <w:multiLevelType w:val="multilevel"/>
    <w:tmpl w:val="A85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083F81"/>
    <w:multiLevelType w:val="multilevel"/>
    <w:tmpl w:val="FDC6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222E36"/>
    <w:multiLevelType w:val="multilevel"/>
    <w:tmpl w:val="F3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1EE5"/>
    <w:multiLevelType w:val="multilevel"/>
    <w:tmpl w:val="CE7A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430E33"/>
    <w:multiLevelType w:val="multilevel"/>
    <w:tmpl w:val="DD7C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1E0546"/>
    <w:multiLevelType w:val="multilevel"/>
    <w:tmpl w:val="F58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535301"/>
    <w:multiLevelType w:val="multilevel"/>
    <w:tmpl w:val="19A8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CC4FAD"/>
    <w:multiLevelType w:val="multilevel"/>
    <w:tmpl w:val="B5CA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72767F"/>
    <w:multiLevelType w:val="multilevel"/>
    <w:tmpl w:val="5724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74872"/>
    <w:multiLevelType w:val="multilevel"/>
    <w:tmpl w:val="E9D6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490461"/>
    <w:multiLevelType w:val="multilevel"/>
    <w:tmpl w:val="6598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805FDE"/>
    <w:multiLevelType w:val="multilevel"/>
    <w:tmpl w:val="3008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0224B7"/>
    <w:multiLevelType w:val="multilevel"/>
    <w:tmpl w:val="7A7C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411C9D"/>
    <w:multiLevelType w:val="multilevel"/>
    <w:tmpl w:val="CC94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1362E"/>
    <w:multiLevelType w:val="multilevel"/>
    <w:tmpl w:val="A63C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751740"/>
    <w:multiLevelType w:val="multilevel"/>
    <w:tmpl w:val="2A78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9E6AA5"/>
    <w:multiLevelType w:val="multilevel"/>
    <w:tmpl w:val="2CB4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755F50"/>
    <w:multiLevelType w:val="multilevel"/>
    <w:tmpl w:val="8586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C308C8"/>
    <w:multiLevelType w:val="multilevel"/>
    <w:tmpl w:val="44C6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2"/>
  </w:num>
  <w:num w:numId="3">
    <w:abstractNumId w:val="13"/>
  </w:num>
  <w:num w:numId="4">
    <w:abstractNumId w:val="18"/>
  </w:num>
  <w:num w:numId="5">
    <w:abstractNumId w:val="34"/>
  </w:num>
  <w:num w:numId="6">
    <w:abstractNumId w:val="36"/>
  </w:num>
  <w:num w:numId="7">
    <w:abstractNumId w:val="11"/>
  </w:num>
  <w:num w:numId="8">
    <w:abstractNumId w:val="1"/>
  </w:num>
  <w:num w:numId="9">
    <w:abstractNumId w:val="23"/>
  </w:num>
  <w:num w:numId="10">
    <w:abstractNumId w:val="6"/>
  </w:num>
  <w:num w:numId="11">
    <w:abstractNumId w:val="33"/>
  </w:num>
  <w:num w:numId="12">
    <w:abstractNumId w:val="10"/>
  </w:num>
  <w:num w:numId="13">
    <w:abstractNumId w:val="26"/>
  </w:num>
  <w:num w:numId="14">
    <w:abstractNumId w:val="3"/>
  </w:num>
  <w:num w:numId="15">
    <w:abstractNumId w:val="2"/>
  </w:num>
  <w:num w:numId="16">
    <w:abstractNumId w:val="8"/>
  </w:num>
  <w:num w:numId="17">
    <w:abstractNumId w:val="16"/>
  </w:num>
  <w:num w:numId="18">
    <w:abstractNumId w:val="7"/>
  </w:num>
  <w:num w:numId="19">
    <w:abstractNumId w:val="37"/>
  </w:num>
  <w:num w:numId="20">
    <w:abstractNumId w:val="15"/>
  </w:num>
  <w:num w:numId="21">
    <w:abstractNumId w:val="31"/>
  </w:num>
  <w:num w:numId="22">
    <w:abstractNumId w:val="4"/>
  </w:num>
  <w:num w:numId="23">
    <w:abstractNumId w:val="27"/>
  </w:num>
  <w:num w:numId="24">
    <w:abstractNumId w:val="0"/>
  </w:num>
  <w:num w:numId="25">
    <w:abstractNumId w:val="20"/>
  </w:num>
  <w:num w:numId="26">
    <w:abstractNumId w:val="24"/>
  </w:num>
  <w:num w:numId="27">
    <w:abstractNumId w:val="14"/>
  </w:num>
  <w:num w:numId="28">
    <w:abstractNumId w:val="29"/>
  </w:num>
  <w:num w:numId="29">
    <w:abstractNumId w:val="9"/>
  </w:num>
  <w:num w:numId="30">
    <w:abstractNumId w:val="21"/>
  </w:num>
  <w:num w:numId="31">
    <w:abstractNumId w:val="30"/>
  </w:num>
  <w:num w:numId="32">
    <w:abstractNumId w:val="35"/>
  </w:num>
  <w:num w:numId="33">
    <w:abstractNumId w:val="28"/>
  </w:num>
  <w:num w:numId="34">
    <w:abstractNumId w:val="12"/>
  </w:num>
  <w:num w:numId="35">
    <w:abstractNumId w:val="19"/>
  </w:num>
  <w:num w:numId="36">
    <w:abstractNumId w:val="17"/>
  </w:num>
  <w:num w:numId="37">
    <w:abstractNumId w:val="22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AC"/>
    <w:rsid w:val="00007BAA"/>
    <w:rsid w:val="00025FA4"/>
    <w:rsid w:val="000A13B6"/>
    <w:rsid w:val="000A6E69"/>
    <w:rsid w:val="000E0F19"/>
    <w:rsid w:val="000F0F87"/>
    <w:rsid w:val="001062F9"/>
    <w:rsid w:val="00112D45"/>
    <w:rsid w:val="00121ECC"/>
    <w:rsid w:val="00137593"/>
    <w:rsid w:val="00144B81"/>
    <w:rsid w:val="00156397"/>
    <w:rsid w:val="00173683"/>
    <w:rsid w:val="0018738A"/>
    <w:rsid w:val="001B7D90"/>
    <w:rsid w:val="001C3F8C"/>
    <w:rsid w:val="001E5CEE"/>
    <w:rsid w:val="00212099"/>
    <w:rsid w:val="00227601"/>
    <w:rsid w:val="0027693B"/>
    <w:rsid w:val="002926FA"/>
    <w:rsid w:val="002A7E18"/>
    <w:rsid w:val="002B093A"/>
    <w:rsid w:val="002C6A31"/>
    <w:rsid w:val="002D1214"/>
    <w:rsid w:val="002D164D"/>
    <w:rsid w:val="002D34D3"/>
    <w:rsid w:val="002D556B"/>
    <w:rsid w:val="002F371D"/>
    <w:rsid w:val="003053FB"/>
    <w:rsid w:val="003849A3"/>
    <w:rsid w:val="0039090F"/>
    <w:rsid w:val="00390BB4"/>
    <w:rsid w:val="003B6D79"/>
    <w:rsid w:val="003C4D06"/>
    <w:rsid w:val="003D0A30"/>
    <w:rsid w:val="00401858"/>
    <w:rsid w:val="004036ED"/>
    <w:rsid w:val="00452448"/>
    <w:rsid w:val="004651FE"/>
    <w:rsid w:val="004833D1"/>
    <w:rsid w:val="004901E1"/>
    <w:rsid w:val="004A5B02"/>
    <w:rsid w:val="004C771C"/>
    <w:rsid w:val="004D13F0"/>
    <w:rsid w:val="004E052E"/>
    <w:rsid w:val="004F75F9"/>
    <w:rsid w:val="005050D0"/>
    <w:rsid w:val="005468E8"/>
    <w:rsid w:val="00595AE3"/>
    <w:rsid w:val="005E0E8A"/>
    <w:rsid w:val="00643DE2"/>
    <w:rsid w:val="006917EA"/>
    <w:rsid w:val="006A72FE"/>
    <w:rsid w:val="006D3E6A"/>
    <w:rsid w:val="0071095E"/>
    <w:rsid w:val="00711F1A"/>
    <w:rsid w:val="007438A1"/>
    <w:rsid w:val="00766FE9"/>
    <w:rsid w:val="00767482"/>
    <w:rsid w:val="0077101F"/>
    <w:rsid w:val="007943D6"/>
    <w:rsid w:val="007B50C1"/>
    <w:rsid w:val="007B7504"/>
    <w:rsid w:val="007C30B2"/>
    <w:rsid w:val="007C3422"/>
    <w:rsid w:val="007D7CA5"/>
    <w:rsid w:val="00856C04"/>
    <w:rsid w:val="008E5CC8"/>
    <w:rsid w:val="008F0078"/>
    <w:rsid w:val="00923061"/>
    <w:rsid w:val="00933A15"/>
    <w:rsid w:val="00940446"/>
    <w:rsid w:val="009818D6"/>
    <w:rsid w:val="00987501"/>
    <w:rsid w:val="00A0275F"/>
    <w:rsid w:val="00A06578"/>
    <w:rsid w:val="00A16D01"/>
    <w:rsid w:val="00A2442B"/>
    <w:rsid w:val="00A24D7B"/>
    <w:rsid w:val="00A43139"/>
    <w:rsid w:val="00A55652"/>
    <w:rsid w:val="00A800A4"/>
    <w:rsid w:val="00A84BBD"/>
    <w:rsid w:val="00AF36CB"/>
    <w:rsid w:val="00B16EB5"/>
    <w:rsid w:val="00B21801"/>
    <w:rsid w:val="00B21C12"/>
    <w:rsid w:val="00B22DA1"/>
    <w:rsid w:val="00B319C1"/>
    <w:rsid w:val="00B465EB"/>
    <w:rsid w:val="00B51195"/>
    <w:rsid w:val="00B61F4B"/>
    <w:rsid w:val="00BA01F7"/>
    <w:rsid w:val="00BA18AA"/>
    <w:rsid w:val="00BC18A0"/>
    <w:rsid w:val="00BD1819"/>
    <w:rsid w:val="00BD4411"/>
    <w:rsid w:val="00C04260"/>
    <w:rsid w:val="00C12F72"/>
    <w:rsid w:val="00C34CFD"/>
    <w:rsid w:val="00C52D18"/>
    <w:rsid w:val="00C81DC1"/>
    <w:rsid w:val="00C82718"/>
    <w:rsid w:val="00CD7BE2"/>
    <w:rsid w:val="00CE13F6"/>
    <w:rsid w:val="00CE7FAC"/>
    <w:rsid w:val="00CF450A"/>
    <w:rsid w:val="00D17B98"/>
    <w:rsid w:val="00D45606"/>
    <w:rsid w:val="00D545B0"/>
    <w:rsid w:val="00D727F5"/>
    <w:rsid w:val="00DA24DC"/>
    <w:rsid w:val="00DD43F2"/>
    <w:rsid w:val="00DE02D4"/>
    <w:rsid w:val="00DE5451"/>
    <w:rsid w:val="00E109C8"/>
    <w:rsid w:val="00E24B3F"/>
    <w:rsid w:val="00E4602F"/>
    <w:rsid w:val="00E55B9B"/>
    <w:rsid w:val="00EA3BF6"/>
    <w:rsid w:val="00EB7076"/>
    <w:rsid w:val="00EE3F86"/>
    <w:rsid w:val="00F21CD3"/>
    <w:rsid w:val="00FD42C1"/>
    <w:rsid w:val="00FE7D48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AF73"/>
  <w15:docId w15:val="{5ED6864D-9DF4-4A69-8483-ED1DA2E1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customStyle="1" w:styleId="isselectedend">
    <w:name w:val="isselectedend"/>
    <w:basedOn w:val="Normln"/>
    <w:rsid w:val="00B22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22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0A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0A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0A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0A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0A30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55B9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B7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A7A82-B0CA-43BA-B35B-6FB9C05F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1017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Fišarová Barbora</dc:creator>
  <cp:lastModifiedBy>Junková, Simona</cp:lastModifiedBy>
  <cp:revision>5</cp:revision>
  <cp:lastPrinted>2025-01-17T11:45:00Z</cp:lastPrinted>
  <dcterms:created xsi:type="dcterms:W3CDTF">2026-05-14T08:20:00Z</dcterms:created>
  <dcterms:modified xsi:type="dcterms:W3CDTF">2026-06-05T07:54:00Z</dcterms:modified>
</cp:coreProperties>
</file>